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4D" w:rsidRDefault="00873E4D">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873E4D" w:rsidRDefault="00873E4D">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0F3C2C">
        <w:rPr>
          <w:rFonts w:ascii="Bookman Old Style" w:hAnsi="Bookman Old Style" w:cs="Arial"/>
          <w:b/>
          <w:bCs/>
          <w:noProof/>
        </w:rPr>
        <w:t>M.Com.</w:t>
      </w:r>
      <w:r>
        <w:rPr>
          <w:rFonts w:ascii="Bookman Old Style" w:hAnsi="Bookman Old Style" w:cs="Arial"/>
          <w:noProof/>
        </w:rPr>
        <w:t xml:space="preserve"> </w:t>
      </w:r>
      <w:r>
        <w:rPr>
          <w:rFonts w:ascii="Bookman Old Style" w:hAnsi="Bookman Old Style" w:cs="Arial"/>
        </w:rPr>
        <w:t xml:space="preserve">DEGREE EXAMINATION - </w:t>
      </w:r>
      <w:r w:rsidRPr="000F3C2C">
        <w:rPr>
          <w:rFonts w:ascii="Bookman Old Style" w:hAnsi="Bookman Old Style" w:cs="Arial"/>
          <w:b/>
          <w:bCs/>
          <w:noProof/>
        </w:rPr>
        <w:t>COMMERCE</w:t>
      </w:r>
    </w:p>
    <w:p w:rsidR="00873E4D" w:rsidRDefault="00873E4D">
      <w:pPr>
        <w:tabs>
          <w:tab w:val="left" w:pos="615"/>
          <w:tab w:val="center" w:pos="4680"/>
          <w:tab w:val="center" w:pos="5161"/>
        </w:tabs>
        <w:spacing w:line="360" w:lineRule="auto"/>
        <w:ind w:left="-540" w:right="-720"/>
        <w:jc w:val="center"/>
        <w:rPr>
          <w:rFonts w:ascii="Bookman Old Style" w:hAnsi="Bookman Old Style" w:cs="Arial"/>
        </w:rPr>
      </w:pPr>
      <w:r w:rsidRPr="000F3C2C">
        <w:rPr>
          <w:rFonts w:ascii="Bookman Old Style" w:hAnsi="Bookman Old Style" w:cs="Arial"/>
          <w:noProof/>
        </w:rPr>
        <w:t>SECOND</w:t>
      </w:r>
      <w:r>
        <w:rPr>
          <w:rFonts w:ascii="Bookman Old Style" w:hAnsi="Bookman Old Style" w:cs="Arial"/>
          <w:noProof/>
        </w:rPr>
        <w:t xml:space="preserve"> </w:t>
      </w:r>
      <w:r>
        <w:rPr>
          <w:rFonts w:ascii="Bookman Old Style" w:hAnsi="Bookman Old Style" w:cs="Arial"/>
        </w:rPr>
        <w:t xml:space="preserve">SEMESTER – </w:t>
      </w:r>
      <w:r w:rsidRPr="000F3C2C">
        <w:rPr>
          <w:rFonts w:ascii="Bookman Old Style" w:hAnsi="Bookman Old Style" w:cs="Arial"/>
          <w:noProof/>
        </w:rPr>
        <w:t>APRIL 2011</w:t>
      </w:r>
    </w:p>
    <w:p w:rsidR="00873E4D" w:rsidRDefault="00873E4D">
      <w:pPr>
        <w:pStyle w:val="Heading1"/>
        <w:tabs>
          <w:tab w:val="left" w:pos="3165"/>
          <w:tab w:val="center" w:pos="4246"/>
          <w:tab w:val="center" w:pos="4680"/>
          <w:tab w:val="left" w:pos="6555"/>
        </w:tabs>
        <w:ind w:left="-540" w:right="-720"/>
        <w:rPr>
          <w:rFonts w:ascii="Bookman Old Style" w:hAnsi="Bookman Old Style" w:cs="Arial"/>
        </w:rPr>
      </w:pPr>
      <w:r w:rsidRPr="000F3C2C">
        <w:rPr>
          <w:rFonts w:ascii="Bookman Old Style" w:hAnsi="Bookman Old Style" w:cs="Arial"/>
          <w:noProof/>
        </w:rPr>
        <w:t>CO 2953</w:t>
      </w:r>
      <w:r>
        <w:rPr>
          <w:rFonts w:ascii="Bookman Old Style" w:hAnsi="Bookman Old Style" w:cs="Arial"/>
          <w:noProof/>
        </w:rPr>
        <w:t xml:space="preserve"> </w:t>
      </w:r>
      <w:r>
        <w:rPr>
          <w:rFonts w:ascii="Bookman Old Style" w:hAnsi="Bookman Old Style" w:cs="Arial"/>
        </w:rPr>
        <w:t xml:space="preserve">- </w:t>
      </w:r>
      <w:r w:rsidRPr="000F3C2C">
        <w:rPr>
          <w:rFonts w:ascii="Bookman Old Style" w:hAnsi="Bookman Old Style" w:cs="Arial"/>
          <w:noProof/>
        </w:rPr>
        <w:t>BUSINESS TAXATION</w:t>
      </w:r>
    </w:p>
    <w:p w:rsidR="00873E4D" w:rsidRDefault="00873E4D">
      <w:pPr>
        <w:tabs>
          <w:tab w:val="center" w:pos="4680"/>
        </w:tabs>
        <w:rPr>
          <w:rFonts w:ascii="Bookman Old Style" w:hAnsi="Bookman Old Style"/>
          <w:sz w:val="20"/>
          <w:szCs w:val="20"/>
        </w:rPr>
      </w:pPr>
      <w:r>
        <w:rPr>
          <w:rFonts w:ascii="Bookman Old Style" w:hAnsi="Bookman Old Style"/>
          <w:sz w:val="20"/>
          <w:szCs w:val="20"/>
        </w:rPr>
        <w:tab/>
      </w:r>
    </w:p>
    <w:p w:rsidR="00873E4D" w:rsidRDefault="00873E4D">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873E4D" w:rsidRDefault="00873E4D">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0F3C2C">
        <w:rPr>
          <w:rFonts w:ascii="Bookman Old Style" w:hAnsi="Bookman Old Style" w:cs="Arial"/>
          <w:noProof/>
        </w:rPr>
        <w:t>07-04-2011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873E4D" w:rsidRDefault="00873E4D">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0F3C2C">
        <w:rPr>
          <w:rFonts w:ascii="Bookman Old Style" w:hAnsi="Bookman Old Style" w:cs="Arial"/>
          <w:noProof/>
          <w:szCs w:val="22"/>
        </w:rPr>
        <w:t>1:00 - 4:00</w:t>
      </w:r>
      <w:r>
        <w:rPr>
          <w:rFonts w:ascii="Bookman Old Style" w:hAnsi="Bookman Old Style" w:cs="Arial"/>
          <w:szCs w:val="22"/>
        </w:rPr>
        <w:t xml:space="preserve">  </w:t>
      </w:r>
      <w:r>
        <w:rPr>
          <w:rFonts w:ascii="Bookman Old Style" w:hAnsi="Bookman Old Style" w:cs="Arial"/>
          <w:noProof/>
        </w:rPr>
        <w:t xml:space="preserve">                                            </w:t>
      </w:r>
    </w:p>
    <w:p w:rsidR="00873E4D" w:rsidRDefault="00873E4D" w:rsidP="00B905C1">
      <w:pPr>
        <w:jc w:val="center"/>
      </w:pPr>
    </w:p>
    <w:p w:rsidR="00873E4D" w:rsidRDefault="00873E4D" w:rsidP="00B905C1">
      <w:pPr>
        <w:pBdr>
          <w:top w:val="single" w:sz="4" w:space="1" w:color="auto"/>
          <w:left w:val="single" w:sz="4" w:space="4" w:color="auto"/>
          <w:bottom w:val="single" w:sz="4" w:space="1" w:color="auto"/>
          <w:right w:val="single" w:sz="4" w:space="4" w:color="auto"/>
        </w:pBdr>
        <w:rPr>
          <w:b/>
        </w:rPr>
      </w:pPr>
      <w:r>
        <w:rPr>
          <w:b/>
        </w:rPr>
        <w:t>SECTION – A                     Answer ALL questions                             ( 10 x 2 = 20 )</w:t>
      </w:r>
    </w:p>
    <w:p w:rsidR="00873E4D" w:rsidRDefault="00873E4D" w:rsidP="00B905C1"/>
    <w:p w:rsidR="00873E4D" w:rsidRDefault="00873E4D" w:rsidP="00B905C1">
      <w:pPr>
        <w:numPr>
          <w:ilvl w:val="0"/>
          <w:numId w:val="8"/>
        </w:numPr>
      </w:pPr>
      <w:r>
        <w:t>Define person as per Income Tax Act.</w:t>
      </w:r>
    </w:p>
    <w:p w:rsidR="00873E4D" w:rsidRDefault="00873E4D" w:rsidP="00B905C1">
      <w:pPr>
        <w:ind w:left="720"/>
      </w:pPr>
    </w:p>
    <w:p w:rsidR="00873E4D" w:rsidRDefault="00873E4D" w:rsidP="00B905C1">
      <w:pPr>
        <w:numPr>
          <w:ilvl w:val="0"/>
          <w:numId w:val="8"/>
        </w:numPr>
        <w:jc w:val="both"/>
        <w:rPr>
          <w:bCs/>
        </w:rPr>
      </w:pPr>
      <w:r>
        <w:rPr>
          <w:bCs/>
        </w:rPr>
        <w:t>Give any four examples of inadmissible expenses under the head business and profession.</w:t>
      </w:r>
    </w:p>
    <w:p w:rsidR="00873E4D" w:rsidRDefault="00873E4D" w:rsidP="00B905C1">
      <w:pPr>
        <w:pStyle w:val="ListParagraph"/>
        <w:rPr>
          <w:bCs/>
        </w:rPr>
      </w:pPr>
    </w:p>
    <w:p w:rsidR="00873E4D" w:rsidRDefault="00873E4D" w:rsidP="00B905C1">
      <w:pPr>
        <w:numPr>
          <w:ilvl w:val="0"/>
          <w:numId w:val="8"/>
        </w:numPr>
        <w:jc w:val="both"/>
        <w:rPr>
          <w:bCs/>
        </w:rPr>
      </w:pPr>
      <w:r>
        <w:rPr>
          <w:bCs/>
        </w:rPr>
        <w:t xml:space="preserve">Identify any two differences between </w:t>
      </w:r>
      <w:r>
        <w:t>Direct Taxes and Indirect Taxes.</w:t>
      </w:r>
    </w:p>
    <w:p w:rsidR="00873E4D" w:rsidRDefault="00873E4D" w:rsidP="00B905C1">
      <w:pPr>
        <w:pStyle w:val="ListParagraph"/>
        <w:rPr>
          <w:bCs/>
        </w:rPr>
      </w:pPr>
    </w:p>
    <w:p w:rsidR="00873E4D" w:rsidRDefault="00873E4D" w:rsidP="00B905C1">
      <w:pPr>
        <w:numPr>
          <w:ilvl w:val="0"/>
          <w:numId w:val="8"/>
        </w:numPr>
        <w:jc w:val="both"/>
        <w:rPr>
          <w:bCs/>
        </w:rPr>
      </w:pPr>
      <w:r>
        <w:rPr>
          <w:bCs/>
          <w:iCs/>
        </w:rPr>
        <w:t>Define Factory under Excise Duty?</w:t>
      </w:r>
    </w:p>
    <w:p w:rsidR="00873E4D" w:rsidRDefault="00873E4D" w:rsidP="00B905C1">
      <w:pPr>
        <w:pStyle w:val="ListParagraph"/>
        <w:rPr>
          <w:bCs/>
        </w:rPr>
      </w:pPr>
    </w:p>
    <w:p w:rsidR="00873E4D" w:rsidRDefault="00873E4D" w:rsidP="00B905C1">
      <w:pPr>
        <w:numPr>
          <w:ilvl w:val="0"/>
          <w:numId w:val="8"/>
        </w:numPr>
        <w:jc w:val="both"/>
        <w:rPr>
          <w:bCs/>
        </w:rPr>
      </w:pPr>
      <w:r>
        <w:rPr>
          <w:bCs/>
        </w:rPr>
        <w:t>Give any four arguments in favour of Value Added Tax.</w:t>
      </w:r>
    </w:p>
    <w:p w:rsidR="00873E4D" w:rsidRDefault="00873E4D" w:rsidP="00B905C1">
      <w:pPr>
        <w:pStyle w:val="ListParagraph"/>
        <w:rPr>
          <w:bCs/>
        </w:rPr>
      </w:pPr>
    </w:p>
    <w:p w:rsidR="00873E4D" w:rsidRDefault="00873E4D" w:rsidP="00B905C1">
      <w:pPr>
        <w:numPr>
          <w:ilvl w:val="0"/>
          <w:numId w:val="8"/>
        </w:numPr>
        <w:jc w:val="both"/>
        <w:rPr>
          <w:bCs/>
        </w:rPr>
      </w:pPr>
      <w:r>
        <w:t>Sri. Y has the following incomes for the previous year ending on 31</w:t>
      </w:r>
      <w:r>
        <w:rPr>
          <w:vertAlign w:val="superscript"/>
        </w:rPr>
        <w:t>st</w:t>
      </w:r>
      <w:r>
        <w:t xml:space="preserve"> March 2010.</w:t>
      </w:r>
    </w:p>
    <w:p w:rsidR="00873E4D" w:rsidRDefault="00873E4D" w:rsidP="00B905C1">
      <w:pPr>
        <w:ind w:left="720"/>
      </w:pPr>
      <w:r>
        <w:t>Income from salary in India from a company                        Rs.50,000</w:t>
      </w:r>
    </w:p>
    <w:p w:rsidR="00873E4D" w:rsidRDefault="00873E4D" w:rsidP="00B905C1">
      <w:pPr>
        <w:ind w:left="720"/>
      </w:pPr>
      <w:r>
        <w:t>Dividend from a Indian company received in England and spent there Rs.10,000</w:t>
      </w:r>
    </w:p>
    <w:p w:rsidR="00873E4D" w:rsidRDefault="00873E4D" w:rsidP="00B905C1">
      <w:pPr>
        <w:ind w:left="561" w:hanging="561"/>
      </w:pPr>
      <w:r>
        <w:t xml:space="preserve">  </w:t>
      </w:r>
      <w:r>
        <w:tab/>
        <w:t xml:space="preserve">   Income from house property in India received in Pakistan     Rs.20,000</w:t>
      </w:r>
    </w:p>
    <w:p w:rsidR="00873E4D" w:rsidRDefault="00873E4D" w:rsidP="00B905C1">
      <w:r>
        <w:t xml:space="preserve">   </w:t>
      </w:r>
      <w:r>
        <w:tab/>
        <w:t xml:space="preserve">Dividend from a foreign company received in England and deposited in a bank there  </w:t>
      </w:r>
      <w:r>
        <w:br/>
        <w:t xml:space="preserve">             Rs.10,000. Compute the GTI, if he is (i) ROR, (ii) RBNOR and (iii) NOR.</w:t>
      </w:r>
    </w:p>
    <w:p w:rsidR="00873E4D" w:rsidRDefault="00873E4D" w:rsidP="00B905C1">
      <w:pPr>
        <w:ind w:left="720"/>
      </w:pPr>
    </w:p>
    <w:p w:rsidR="00873E4D" w:rsidRDefault="00873E4D" w:rsidP="00B905C1">
      <w:pPr>
        <w:numPr>
          <w:ilvl w:val="0"/>
          <w:numId w:val="8"/>
        </w:numPr>
      </w:pPr>
      <w:r>
        <w:rPr>
          <w:bCs/>
        </w:rPr>
        <w:t>What are the assets exempt from Wealth Tax?</w:t>
      </w:r>
    </w:p>
    <w:p w:rsidR="00873E4D" w:rsidRDefault="00873E4D" w:rsidP="00B905C1">
      <w:pPr>
        <w:ind w:left="720"/>
      </w:pPr>
    </w:p>
    <w:p w:rsidR="00873E4D" w:rsidRDefault="00873E4D" w:rsidP="00B905C1">
      <w:pPr>
        <w:numPr>
          <w:ilvl w:val="0"/>
          <w:numId w:val="8"/>
        </w:numPr>
      </w:pPr>
      <w:r>
        <w:rPr>
          <w:bCs/>
        </w:rPr>
        <w:t>WDV of block of plant and machinery on 1-4-2009 was Rs.5,95,000.  During the year 2009-10 a new item costing Rs.1,50,000 was acquired in May 2009 and an item was sold on 15-9-2009 for Rs.79,000.  Calculate the WDV of the block of assets given the depreciation rate at 15% in relation to assessment year 2010-11.</w:t>
      </w:r>
    </w:p>
    <w:p w:rsidR="00873E4D" w:rsidRDefault="00873E4D" w:rsidP="00B905C1">
      <w:pPr>
        <w:pStyle w:val="ListParagraph"/>
      </w:pPr>
    </w:p>
    <w:p w:rsidR="00873E4D" w:rsidRDefault="00873E4D" w:rsidP="00B905C1">
      <w:pPr>
        <w:numPr>
          <w:ilvl w:val="0"/>
          <w:numId w:val="8"/>
        </w:numPr>
      </w:pPr>
      <w:r>
        <w:t>Calculate the customs duty payable from the following details:</w:t>
      </w:r>
    </w:p>
    <w:p w:rsidR="00873E4D" w:rsidRDefault="00873E4D" w:rsidP="00B905C1">
      <w:pPr>
        <w:ind w:left="720"/>
      </w:pPr>
      <w:r>
        <w:t>Customs Value (A.V.) of imported goods Rs.5 lakh, custom duty payable 60%. Had the goods been manufactured in India, the exercise duty payable would have been 20%.</w:t>
      </w:r>
    </w:p>
    <w:p w:rsidR="00873E4D" w:rsidRDefault="00873E4D" w:rsidP="00B905C1">
      <w:pPr>
        <w:ind w:left="720"/>
      </w:pPr>
    </w:p>
    <w:p w:rsidR="00873E4D" w:rsidRDefault="00873E4D" w:rsidP="00B905C1">
      <w:pPr>
        <w:pStyle w:val="BodyText"/>
        <w:numPr>
          <w:ilvl w:val="0"/>
          <w:numId w:val="8"/>
        </w:numPr>
        <w:jc w:val="both"/>
      </w:pPr>
      <w:r>
        <w:t>Mr.Rao has a brand name PQ.  He gets the goods manufactured from Mr.X under the brand name PQ at Rs.30 per article.  Mr.Rao sold the goods at Rs.50 per article.  Assuming that the rate of excise duty is 20%, compute the assessable value and excise duty payable.</w:t>
      </w:r>
    </w:p>
    <w:p w:rsidR="00873E4D" w:rsidRDefault="00873E4D" w:rsidP="00B905C1">
      <w:pPr>
        <w:pStyle w:val="BodyText"/>
        <w:jc w:val="both"/>
      </w:pPr>
    </w:p>
    <w:p w:rsidR="00873E4D" w:rsidRDefault="00873E4D" w:rsidP="00B905C1">
      <w:pPr>
        <w:pStyle w:val="BodyText"/>
        <w:jc w:val="both"/>
      </w:pPr>
    </w:p>
    <w:p w:rsidR="00873E4D" w:rsidRDefault="00873E4D" w:rsidP="00B905C1">
      <w:pPr>
        <w:pStyle w:val="BodyText"/>
        <w:jc w:val="both"/>
      </w:pPr>
    </w:p>
    <w:p w:rsidR="00873E4D" w:rsidRDefault="00873E4D" w:rsidP="00B905C1">
      <w:pPr>
        <w:pStyle w:val="BodyText"/>
        <w:jc w:val="both"/>
      </w:pPr>
    </w:p>
    <w:p w:rsidR="00873E4D" w:rsidRDefault="00873E4D" w:rsidP="00B905C1">
      <w:pPr>
        <w:pStyle w:val="BodyText"/>
        <w:jc w:val="both"/>
      </w:pPr>
    </w:p>
    <w:p w:rsidR="00873E4D" w:rsidRDefault="00873E4D" w:rsidP="00B905C1">
      <w:pPr>
        <w:pStyle w:val="BodyText"/>
        <w:jc w:val="both"/>
      </w:pPr>
    </w:p>
    <w:p w:rsidR="00873E4D" w:rsidRDefault="00873E4D" w:rsidP="00B905C1"/>
    <w:p w:rsidR="00873E4D" w:rsidRDefault="00873E4D" w:rsidP="00B905C1">
      <w:pPr>
        <w:pBdr>
          <w:top w:val="single" w:sz="4" w:space="1" w:color="auto"/>
          <w:left w:val="single" w:sz="4" w:space="4" w:color="auto"/>
          <w:bottom w:val="single" w:sz="4" w:space="1" w:color="auto"/>
          <w:right w:val="single" w:sz="4" w:space="4" w:color="auto"/>
        </w:pBdr>
        <w:rPr>
          <w:b/>
        </w:rPr>
      </w:pPr>
      <w:r>
        <w:rPr>
          <w:b/>
        </w:rPr>
        <w:t>SECTION – B                  Answer any five questions                                ( 5 x 8 = 40 )</w:t>
      </w:r>
    </w:p>
    <w:p w:rsidR="00873E4D" w:rsidRDefault="00873E4D" w:rsidP="00B905C1">
      <w:pPr>
        <w:jc w:val="both"/>
      </w:pPr>
    </w:p>
    <w:p w:rsidR="00873E4D" w:rsidRDefault="00873E4D" w:rsidP="00B905C1">
      <w:pPr>
        <w:jc w:val="both"/>
      </w:pPr>
      <w:r>
        <w:rPr>
          <w:b/>
        </w:rPr>
        <w:t xml:space="preserve">11. </w:t>
      </w:r>
      <w:r>
        <w:t>Identify the points on which an individual is taxed as ROR, RBNOR and NOR.</w:t>
      </w:r>
    </w:p>
    <w:p w:rsidR="00873E4D" w:rsidRDefault="00873E4D" w:rsidP="00B905C1">
      <w:pPr>
        <w:jc w:val="both"/>
        <w:rPr>
          <w:bCs/>
        </w:rPr>
      </w:pPr>
    </w:p>
    <w:p w:rsidR="00873E4D" w:rsidRDefault="00873E4D" w:rsidP="00B905C1">
      <w:pPr>
        <w:jc w:val="both"/>
        <w:rPr>
          <w:bCs/>
        </w:rPr>
      </w:pPr>
      <w:r>
        <w:rPr>
          <w:b/>
          <w:bCs/>
        </w:rPr>
        <w:t>12.</w:t>
      </w:r>
      <w:r>
        <w:rPr>
          <w:bCs/>
        </w:rPr>
        <w:t xml:space="preserve"> What are the rules pertaining to registration of manufacturer under Excise Duty?</w:t>
      </w:r>
    </w:p>
    <w:p w:rsidR="00873E4D" w:rsidRDefault="00873E4D" w:rsidP="00B905C1">
      <w:pPr>
        <w:pStyle w:val="Heading1"/>
        <w:jc w:val="left"/>
        <w:rPr>
          <w:b w:val="0"/>
        </w:rPr>
      </w:pPr>
      <w:r>
        <w:t>13.</w:t>
      </w:r>
      <w:r>
        <w:rPr>
          <w:b w:val="0"/>
        </w:rPr>
        <w:t xml:space="preserve"> Briefly explain the salient features of White Paper on VAT</w:t>
      </w:r>
    </w:p>
    <w:p w:rsidR="00873E4D" w:rsidRDefault="00873E4D" w:rsidP="00B905C1">
      <w:pPr>
        <w:jc w:val="both"/>
        <w:rPr>
          <w:bCs/>
        </w:rPr>
      </w:pPr>
    </w:p>
    <w:p w:rsidR="00873E4D" w:rsidRDefault="00873E4D" w:rsidP="00B905C1">
      <w:pPr>
        <w:jc w:val="both"/>
        <w:rPr>
          <w:bCs/>
        </w:rPr>
      </w:pPr>
      <w:r>
        <w:rPr>
          <w:b/>
          <w:bCs/>
        </w:rPr>
        <w:t>14.</w:t>
      </w:r>
      <w:r>
        <w:rPr>
          <w:bCs/>
        </w:rPr>
        <w:t xml:space="preserve"> The total income of A Ltd. Computed under the Income Tax is Rs.5,00,000. However, the Book profit of the company calculated under section 115 JB amounts to Rs.24,50,000.  Calculate the tax liability of company for assessment year 2010-11.</w:t>
      </w:r>
    </w:p>
    <w:p w:rsidR="00873E4D" w:rsidRDefault="00873E4D" w:rsidP="00B905C1">
      <w:pPr>
        <w:jc w:val="both"/>
        <w:rPr>
          <w:bCs/>
        </w:rPr>
      </w:pPr>
    </w:p>
    <w:p w:rsidR="00873E4D" w:rsidRDefault="00873E4D" w:rsidP="00B905C1">
      <w:pPr>
        <w:jc w:val="both"/>
        <w:rPr>
          <w:bCs/>
        </w:rPr>
      </w:pPr>
      <w:r>
        <w:rPr>
          <w:b/>
          <w:bCs/>
        </w:rPr>
        <w:t>15.</w:t>
      </w:r>
      <w:r>
        <w:rPr>
          <w:bCs/>
        </w:rPr>
        <w:t xml:space="preserve"> Discuss how the following items are to be dealt with in the Income Tax assessment:</w:t>
      </w:r>
    </w:p>
    <w:p w:rsidR="00873E4D" w:rsidRDefault="00873E4D" w:rsidP="00B905C1">
      <w:pPr>
        <w:jc w:val="both"/>
        <w:rPr>
          <w:bCs/>
        </w:rPr>
      </w:pPr>
      <w:r>
        <w:rPr>
          <w:bCs/>
        </w:rPr>
        <w:t>(a) Payment in U.K. of salaries and interest amounting to Rs.80,000 and Rs.30,000 respectively without deduction of tax at source;</w:t>
      </w:r>
    </w:p>
    <w:p w:rsidR="00873E4D" w:rsidRDefault="00873E4D" w:rsidP="00B905C1">
      <w:pPr>
        <w:jc w:val="both"/>
        <w:rPr>
          <w:bCs/>
        </w:rPr>
      </w:pPr>
      <w:r>
        <w:rPr>
          <w:bCs/>
        </w:rPr>
        <w:t>(b) income tax paid on behalf of a non resident in respect of whose income the assessee was assessed as agent;</w:t>
      </w:r>
    </w:p>
    <w:p w:rsidR="00873E4D" w:rsidRDefault="00873E4D" w:rsidP="00B905C1">
      <w:pPr>
        <w:jc w:val="both"/>
      </w:pPr>
      <w:r>
        <w:rPr>
          <w:bCs/>
        </w:rPr>
        <w:t>(c)</w:t>
      </w:r>
      <w:r>
        <w:t>Expenditure incurred outside India to promote the sales of the company although no sale was made during the accounting year;</w:t>
      </w:r>
    </w:p>
    <w:p w:rsidR="00873E4D" w:rsidRDefault="00873E4D" w:rsidP="00B905C1">
      <w:pPr>
        <w:jc w:val="both"/>
      </w:pPr>
      <w:r>
        <w:t>(d) Provision of Rs.2,80,000 for doubtful debts.</w:t>
      </w:r>
    </w:p>
    <w:p w:rsidR="00873E4D" w:rsidRDefault="00873E4D" w:rsidP="00B905C1">
      <w:pPr>
        <w:jc w:val="both"/>
        <w:rPr>
          <w:bCs/>
        </w:rPr>
      </w:pPr>
    </w:p>
    <w:p w:rsidR="00873E4D" w:rsidRDefault="00873E4D" w:rsidP="00B905C1">
      <w:pPr>
        <w:jc w:val="both"/>
        <w:rPr>
          <w:bCs/>
        </w:rPr>
      </w:pPr>
      <w:r>
        <w:rPr>
          <w:b/>
          <w:bCs/>
        </w:rPr>
        <w:t>16.</w:t>
      </w:r>
      <w:r>
        <w:rPr>
          <w:bCs/>
        </w:rPr>
        <w:t xml:space="preserve"> Compute the Net wealth and wealth tax liability of ABC (P) Ltd. for the assessment year:</w:t>
      </w:r>
    </w:p>
    <w:p w:rsidR="00873E4D" w:rsidRDefault="00873E4D" w:rsidP="00B905C1">
      <w:pPr>
        <w:numPr>
          <w:ilvl w:val="0"/>
          <w:numId w:val="9"/>
        </w:numPr>
        <w:jc w:val="both"/>
        <w:rPr>
          <w:bCs/>
        </w:rPr>
      </w:pPr>
      <w:r>
        <w:rPr>
          <w:bCs/>
        </w:rPr>
        <w:t xml:space="preserve">Gold jewellory </w:t>
      </w:r>
      <w:r>
        <w:rPr>
          <w:bCs/>
        </w:rPr>
        <w:tab/>
      </w:r>
      <w:r>
        <w:rPr>
          <w:bCs/>
        </w:rPr>
        <w:tab/>
      </w:r>
      <w:r>
        <w:rPr>
          <w:bCs/>
        </w:rPr>
        <w:tab/>
      </w:r>
      <w:r>
        <w:rPr>
          <w:bCs/>
        </w:rPr>
        <w:tab/>
        <w:t>Rs.50,00,000</w:t>
      </w:r>
    </w:p>
    <w:p w:rsidR="00873E4D" w:rsidRDefault="00873E4D" w:rsidP="00B905C1">
      <w:pPr>
        <w:numPr>
          <w:ilvl w:val="0"/>
          <w:numId w:val="9"/>
        </w:numPr>
        <w:jc w:val="both"/>
        <w:rPr>
          <w:bCs/>
        </w:rPr>
      </w:pPr>
      <w:r>
        <w:rPr>
          <w:bCs/>
        </w:rPr>
        <w:t>Stock of gold and silver</w:t>
      </w:r>
      <w:r>
        <w:rPr>
          <w:bCs/>
        </w:rPr>
        <w:tab/>
      </w:r>
      <w:r>
        <w:rPr>
          <w:bCs/>
        </w:rPr>
        <w:tab/>
      </w:r>
      <w:r>
        <w:rPr>
          <w:bCs/>
        </w:rPr>
        <w:tab/>
        <w:t>Rs.20,00,000</w:t>
      </w:r>
    </w:p>
    <w:p w:rsidR="00873E4D" w:rsidRDefault="00873E4D" w:rsidP="00B905C1">
      <w:pPr>
        <w:numPr>
          <w:ilvl w:val="0"/>
          <w:numId w:val="9"/>
        </w:numPr>
        <w:jc w:val="both"/>
        <w:rPr>
          <w:bCs/>
        </w:rPr>
      </w:pPr>
      <w:r>
        <w:rPr>
          <w:bCs/>
        </w:rPr>
        <w:t xml:space="preserve">Purchase of land for factory </w:t>
      </w:r>
      <w:r>
        <w:rPr>
          <w:bCs/>
        </w:rPr>
        <w:tab/>
      </w:r>
      <w:r>
        <w:rPr>
          <w:bCs/>
        </w:rPr>
        <w:tab/>
        <w:t xml:space="preserve">             Rs.60,00,000</w:t>
      </w:r>
    </w:p>
    <w:p w:rsidR="00873E4D" w:rsidRDefault="00873E4D" w:rsidP="00B905C1">
      <w:pPr>
        <w:numPr>
          <w:ilvl w:val="0"/>
          <w:numId w:val="9"/>
        </w:numPr>
        <w:jc w:val="both"/>
        <w:rPr>
          <w:bCs/>
        </w:rPr>
      </w:pPr>
      <w:r>
        <w:rPr>
          <w:bCs/>
        </w:rPr>
        <w:t>Motor cars</w:t>
      </w:r>
      <w:r>
        <w:rPr>
          <w:bCs/>
        </w:rPr>
        <w:tab/>
      </w:r>
      <w:r>
        <w:rPr>
          <w:bCs/>
        </w:rPr>
        <w:tab/>
      </w:r>
      <w:r>
        <w:rPr>
          <w:bCs/>
        </w:rPr>
        <w:tab/>
      </w:r>
      <w:r>
        <w:rPr>
          <w:bCs/>
        </w:rPr>
        <w:tab/>
      </w:r>
      <w:r>
        <w:rPr>
          <w:bCs/>
        </w:rPr>
        <w:tab/>
        <w:t>Rs.5,00,000</w:t>
      </w:r>
    </w:p>
    <w:p w:rsidR="00873E4D" w:rsidRDefault="00873E4D" w:rsidP="00B905C1">
      <w:pPr>
        <w:numPr>
          <w:ilvl w:val="0"/>
          <w:numId w:val="9"/>
        </w:numPr>
        <w:jc w:val="both"/>
        <w:rPr>
          <w:bCs/>
        </w:rPr>
      </w:pPr>
      <w:r>
        <w:rPr>
          <w:bCs/>
        </w:rPr>
        <w:t>Show room and business office</w:t>
      </w:r>
      <w:r>
        <w:rPr>
          <w:bCs/>
        </w:rPr>
        <w:tab/>
      </w:r>
      <w:r>
        <w:rPr>
          <w:bCs/>
        </w:rPr>
        <w:tab/>
        <w:t>Rs.18,00,000</w:t>
      </w:r>
    </w:p>
    <w:p w:rsidR="00873E4D" w:rsidRDefault="00873E4D" w:rsidP="00B905C1">
      <w:pPr>
        <w:numPr>
          <w:ilvl w:val="0"/>
          <w:numId w:val="9"/>
        </w:numPr>
        <w:jc w:val="both"/>
        <w:rPr>
          <w:bCs/>
        </w:rPr>
      </w:pPr>
      <w:r>
        <w:rPr>
          <w:bCs/>
        </w:rPr>
        <w:t>Residential bungalow at Chennai</w:t>
      </w:r>
      <w:r>
        <w:rPr>
          <w:bCs/>
        </w:rPr>
        <w:tab/>
      </w:r>
      <w:r>
        <w:rPr>
          <w:bCs/>
        </w:rPr>
        <w:tab/>
        <w:t>Rs.20,00,000</w:t>
      </w:r>
    </w:p>
    <w:p w:rsidR="00873E4D" w:rsidRDefault="00873E4D" w:rsidP="00B905C1">
      <w:pPr>
        <w:numPr>
          <w:ilvl w:val="0"/>
          <w:numId w:val="9"/>
        </w:numPr>
        <w:jc w:val="both"/>
        <w:rPr>
          <w:bCs/>
        </w:rPr>
      </w:pPr>
      <w:r>
        <w:rPr>
          <w:bCs/>
        </w:rPr>
        <w:t xml:space="preserve">Loan taken to purchase gold for trade </w:t>
      </w:r>
      <w:r>
        <w:rPr>
          <w:bCs/>
        </w:rPr>
        <w:tab/>
        <w:t>Rs.15,00,000</w:t>
      </w:r>
    </w:p>
    <w:p w:rsidR="00873E4D" w:rsidRDefault="00873E4D" w:rsidP="00B905C1">
      <w:pPr>
        <w:numPr>
          <w:ilvl w:val="0"/>
          <w:numId w:val="9"/>
        </w:numPr>
        <w:jc w:val="both"/>
        <w:rPr>
          <w:bCs/>
        </w:rPr>
      </w:pPr>
      <w:r>
        <w:rPr>
          <w:bCs/>
        </w:rPr>
        <w:t>Bonds of public sector co.</w:t>
      </w:r>
      <w:r>
        <w:rPr>
          <w:bCs/>
        </w:rPr>
        <w:tab/>
      </w:r>
      <w:r>
        <w:rPr>
          <w:bCs/>
        </w:rPr>
        <w:tab/>
      </w:r>
      <w:r>
        <w:rPr>
          <w:bCs/>
        </w:rPr>
        <w:tab/>
        <w:t>Rs.20,000</w:t>
      </w:r>
    </w:p>
    <w:p w:rsidR="00873E4D" w:rsidRDefault="00873E4D" w:rsidP="00B905C1">
      <w:pPr>
        <w:numPr>
          <w:ilvl w:val="0"/>
          <w:numId w:val="9"/>
        </w:numPr>
        <w:jc w:val="both"/>
        <w:rPr>
          <w:bCs/>
        </w:rPr>
      </w:pPr>
      <w:r>
        <w:rPr>
          <w:bCs/>
        </w:rPr>
        <w:t>Cash in hand as per cash book</w:t>
      </w:r>
      <w:r>
        <w:rPr>
          <w:bCs/>
        </w:rPr>
        <w:tab/>
      </w:r>
      <w:r>
        <w:rPr>
          <w:bCs/>
        </w:rPr>
        <w:tab/>
        <w:t>Rs.1,00,000</w:t>
      </w:r>
    </w:p>
    <w:p w:rsidR="00873E4D" w:rsidRDefault="00873E4D" w:rsidP="00B905C1">
      <w:pPr>
        <w:jc w:val="both"/>
        <w:rPr>
          <w:bCs/>
        </w:rPr>
      </w:pPr>
    </w:p>
    <w:p w:rsidR="00873E4D" w:rsidRDefault="00873E4D" w:rsidP="00B905C1">
      <w:pPr>
        <w:jc w:val="both"/>
        <w:rPr>
          <w:bCs/>
        </w:rPr>
      </w:pPr>
      <w:r>
        <w:rPr>
          <w:b/>
          <w:bCs/>
        </w:rPr>
        <w:t>17.</w:t>
      </w:r>
      <w:r>
        <w:rPr>
          <w:bCs/>
        </w:rPr>
        <w:t xml:space="preserve">  How much to pay as VAT, if the rate is 10% in the following cases –</w:t>
      </w:r>
    </w:p>
    <w:p w:rsidR="00873E4D" w:rsidRDefault="00873E4D" w:rsidP="00B905C1">
      <w:pPr>
        <w:ind w:firstLine="720"/>
        <w:jc w:val="both"/>
        <w:rPr>
          <w:bCs/>
        </w:rPr>
      </w:pPr>
      <w:r>
        <w:rPr>
          <w:bCs/>
        </w:rPr>
        <w:t>(a) purchase price Rs.100 and sale price Rs.120</w:t>
      </w:r>
    </w:p>
    <w:p w:rsidR="00873E4D" w:rsidRDefault="00873E4D" w:rsidP="00B905C1">
      <w:pPr>
        <w:ind w:firstLine="720"/>
        <w:jc w:val="both"/>
        <w:rPr>
          <w:bCs/>
        </w:rPr>
      </w:pPr>
      <w:r>
        <w:rPr>
          <w:bCs/>
        </w:rPr>
        <w:t>(b) purchase price Rs.200 and sale price Rs.250</w:t>
      </w:r>
    </w:p>
    <w:p w:rsidR="00873E4D" w:rsidRDefault="00873E4D" w:rsidP="00B905C1">
      <w:pPr>
        <w:jc w:val="both"/>
      </w:pPr>
    </w:p>
    <w:p w:rsidR="00873E4D" w:rsidRDefault="00873E4D" w:rsidP="00B905C1">
      <w:pPr>
        <w:jc w:val="both"/>
      </w:pPr>
      <w:r>
        <w:rPr>
          <w:b/>
        </w:rPr>
        <w:t>18.</w:t>
      </w:r>
      <w:r>
        <w:t xml:space="preserve">  A new industrial undertaking set up on 1-4-2009 has acquired following assets as per dates mentioned against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873E4D" w:rsidTr="00B905C1">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Assets</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Date of acquisition</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Date of use</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Cost  (Rs.)</w:t>
            </w:r>
          </w:p>
        </w:tc>
        <w:tc>
          <w:tcPr>
            <w:tcW w:w="1916"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Rate of depreciation</w:t>
            </w:r>
          </w:p>
        </w:tc>
      </w:tr>
      <w:tr w:rsidR="00873E4D" w:rsidTr="00B905C1">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Machinery</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31.3.2009</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5.9.2009</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6,00,000</w:t>
            </w:r>
          </w:p>
        </w:tc>
        <w:tc>
          <w:tcPr>
            <w:tcW w:w="1916"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15%</w:t>
            </w:r>
          </w:p>
        </w:tc>
      </w:tr>
      <w:tr w:rsidR="00873E4D" w:rsidTr="00B905C1">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Electric motor</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1-7-2009</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1.10.2009</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78,000</w:t>
            </w:r>
          </w:p>
        </w:tc>
        <w:tc>
          <w:tcPr>
            <w:tcW w:w="1916"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15%</w:t>
            </w:r>
          </w:p>
        </w:tc>
      </w:tr>
      <w:tr w:rsidR="00873E4D" w:rsidTr="00B905C1">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Plant</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12.11.2009</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15.12.2009</w:t>
            </w:r>
          </w:p>
        </w:tc>
        <w:tc>
          <w:tcPr>
            <w:tcW w:w="1915"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12,00,000</w:t>
            </w:r>
          </w:p>
        </w:tc>
        <w:tc>
          <w:tcPr>
            <w:tcW w:w="1916" w:type="dxa"/>
            <w:tcBorders>
              <w:top w:val="single" w:sz="4" w:space="0" w:color="000000"/>
              <w:left w:val="single" w:sz="4" w:space="0" w:color="000000"/>
              <w:bottom w:val="single" w:sz="4" w:space="0" w:color="000000"/>
              <w:right w:val="single" w:sz="4" w:space="0" w:color="000000"/>
            </w:tcBorders>
            <w:hideMark/>
          </w:tcPr>
          <w:p w:rsidR="00873E4D" w:rsidRDefault="00873E4D">
            <w:pPr>
              <w:jc w:val="both"/>
            </w:pPr>
            <w:r>
              <w:t>15%</w:t>
            </w:r>
          </w:p>
        </w:tc>
      </w:tr>
    </w:tbl>
    <w:p w:rsidR="00873E4D" w:rsidRDefault="00873E4D" w:rsidP="00B905C1">
      <w:pPr>
        <w:jc w:val="both"/>
      </w:pPr>
      <w:r>
        <w:t>Calculate amount of written down value as on 1.4.2010.</w:t>
      </w:r>
    </w:p>
    <w:p w:rsidR="00873E4D" w:rsidRDefault="00873E4D" w:rsidP="00B905C1">
      <w:pPr>
        <w:jc w:val="both"/>
      </w:pPr>
    </w:p>
    <w:p w:rsidR="00873E4D" w:rsidRDefault="00873E4D" w:rsidP="00B905C1">
      <w:pPr>
        <w:jc w:val="both"/>
      </w:pPr>
    </w:p>
    <w:p w:rsidR="00873E4D" w:rsidRDefault="00873E4D" w:rsidP="00B905C1">
      <w:pPr>
        <w:jc w:val="both"/>
      </w:pPr>
    </w:p>
    <w:p w:rsidR="00873E4D" w:rsidRDefault="00873E4D" w:rsidP="00B905C1">
      <w:pPr>
        <w:jc w:val="both"/>
      </w:pPr>
    </w:p>
    <w:p w:rsidR="00873E4D" w:rsidRDefault="00873E4D" w:rsidP="00B905C1">
      <w:pPr>
        <w:jc w:val="both"/>
      </w:pPr>
    </w:p>
    <w:p w:rsidR="00873E4D" w:rsidRDefault="00873E4D" w:rsidP="00B905C1">
      <w:pPr>
        <w:jc w:val="both"/>
      </w:pPr>
    </w:p>
    <w:p w:rsidR="00873E4D" w:rsidRDefault="00873E4D" w:rsidP="00B905C1">
      <w:pPr>
        <w:pBdr>
          <w:top w:val="single" w:sz="4" w:space="1" w:color="auto"/>
          <w:left w:val="single" w:sz="4" w:space="4" w:color="auto"/>
          <w:bottom w:val="single" w:sz="4" w:space="1" w:color="auto"/>
          <w:right w:val="single" w:sz="4" w:space="4" w:color="auto"/>
        </w:pBdr>
        <w:rPr>
          <w:b/>
        </w:rPr>
      </w:pPr>
      <w:r>
        <w:rPr>
          <w:b/>
        </w:rPr>
        <w:lastRenderedPageBreak/>
        <w:t>SECTION – C                Answer any TWO questions                           ( 2 x 20 = 40 )</w:t>
      </w:r>
    </w:p>
    <w:p w:rsidR="00873E4D" w:rsidRDefault="00873E4D" w:rsidP="00B905C1">
      <w:pPr>
        <w:rPr>
          <w:bCs/>
        </w:rPr>
      </w:pPr>
    </w:p>
    <w:p w:rsidR="00873E4D" w:rsidRDefault="00873E4D" w:rsidP="00B905C1">
      <w:pPr>
        <w:pStyle w:val="BodyText"/>
      </w:pPr>
      <w:r>
        <w:rPr>
          <w:b/>
        </w:rPr>
        <w:t xml:space="preserve">19. </w:t>
      </w:r>
      <w:r>
        <w:t>From the following particulars compute the net wealth and wealth tax liability of a Resident Indian citizen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6659"/>
        <w:gridCol w:w="1280"/>
      </w:tblGrid>
      <w:tr w:rsidR="00873E4D" w:rsidTr="00B905C1">
        <w:tc>
          <w:tcPr>
            <w:tcW w:w="586" w:type="dxa"/>
            <w:tcBorders>
              <w:top w:val="nil"/>
              <w:left w:val="nil"/>
              <w:bottom w:val="nil"/>
              <w:right w:val="nil"/>
            </w:tcBorders>
          </w:tcPr>
          <w:p w:rsidR="00873E4D" w:rsidRDefault="00873E4D">
            <w:pPr>
              <w:pStyle w:val="BodyText"/>
            </w:pPr>
          </w:p>
        </w:tc>
        <w:tc>
          <w:tcPr>
            <w:tcW w:w="6659" w:type="dxa"/>
            <w:tcBorders>
              <w:top w:val="nil"/>
              <w:left w:val="nil"/>
              <w:bottom w:val="nil"/>
              <w:right w:val="nil"/>
            </w:tcBorders>
          </w:tcPr>
          <w:p w:rsidR="00873E4D" w:rsidRDefault="00873E4D">
            <w:pPr>
              <w:pStyle w:val="BodyText"/>
            </w:pPr>
          </w:p>
        </w:tc>
        <w:tc>
          <w:tcPr>
            <w:tcW w:w="1280" w:type="dxa"/>
            <w:tcBorders>
              <w:top w:val="nil"/>
              <w:left w:val="nil"/>
              <w:bottom w:val="nil"/>
              <w:right w:val="nil"/>
            </w:tcBorders>
            <w:hideMark/>
          </w:tcPr>
          <w:p w:rsidR="00873E4D" w:rsidRDefault="00873E4D">
            <w:pPr>
              <w:pStyle w:val="BodyText"/>
              <w:jc w:val="center"/>
            </w:pPr>
            <w:r>
              <w:t>Rs.</w:t>
            </w:r>
          </w:p>
        </w:tc>
      </w:tr>
      <w:tr w:rsidR="00873E4D" w:rsidTr="00B905C1">
        <w:tc>
          <w:tcPr>
            <w:tcW w:w="586" w:type="dxa"/>
            <w:tcBorders>
              <w:top w:val="nil"/>
              <w:left w:val="nil"/>
              <w:bottom w:val="nil"/>
              <w:right w:val="nil"/>
            </w:tcBorders>
            <w:hideMark/>
          </w:tcPr>
          <w:p w:rsidR="00873E4D" w:rsidRDefault="00873E4D">
            <w:pPr>
              <w:pStyle w:val="BodyText"/>
              <w:jc w:val="center"/>
            </w:pPr>
            <w:r>
              <w:t>(1)</w:t>
            </w:r>
          </w:p>
        </w:tc>
        <w:tc>
          <w:tcPr>
            <w:tcW w:w="6659" w:type="dxa"/>
            <w:tcBorders>
              <w:top w:val="nil"/>
              <w:left w:val="nil"/>
              <w:bottom w:val="nil"/>
              <w:right w:val="nil"/>
            </w:tcBorders>
            <w:hideMark/>
          </w:tcPr>
          <w:p w:rsidR="00873E4D" w:rsidRDefault="00873E4D">
            <w:pPr>
              <w:pStyle w:val="BodyText"/>
            </w:pPr>
            <w:r>
              <w:t>Self-occupied property</w:t>
            </w:r>
          </w:p>
        </w:tc>
        <w:tc>
          <w:tcPr>
            <w:tcW w:w="1280" w:type="dxa"/>
            <w:tcBorders>
              <w:top w:val="nil"/>
              <w:left w:val="nil"/>
              <w:bottom w:val="nil"/>
              <w:right w:val="nil"/>
            </w:tcBorders>
            <w:hideMark/>
          </w:tcPr>
          <w:p w:rsidR="00873E4D" w:rsidRDefault="00873E4D">
            <w:pPr>
              <w:pStyle w:val="BodyText"/>
              <w:jc w:val="right"/>
            </w:pPr>
            <w:r>
              <w:t>14,00,000</w:t>
            </w:r>
          </w:p>
        </w:tc>
      </w:tr>
      <w:tr w:rsidR="00873E4D" w:rsidTr="00B905C1">
        <w:tc>
          <w:tcPr>
            <w:tcW w:w="586" w:type="dxa"/>
            <w:tcBorders>
              <w:top w:val="nil"/>
              <w:left w:val="nil"/>
              <w:bottom w:val="nil"/>
              <w:right w:val="nil"/>
            </w:tcBorders>
            <w:hideMark/>
          </w:tcPr>
          <w:p w:rsidR="00873E4D" w:rsidRDefault="00873E4D">
            <w:pPr>
              <w:pStyle w:val="BodyText"/>
              <w:jc w:val="center"/>
            </w:pPr>
            <w:r>
              <w:t>(2)</w:t>
            </w:r>
          </w:p>
        </w:tc>
        <w:tc>
          <w:tcPr>
            <w:tcW w:w="6659" w:type="dxa"/>
            <w:tcBorders>
              <w:top w:val="nil"/>
              <w:left w:val="nil"/>
              <w:bottom w:val="nil"/>
              <w:right w:val="nil"/>
            </w:tcBorders>
            <w:hideMark/>
          </w:tcPr>
          <w:p w:rsidR="00873E4D" w:rsidRDefault="00873E4D">
            <w:pPr>
              <w:pStyle w:val="BodyText"/>
            </w:pPr>
            <w:r>
              <w:t xml:space="preserve">Let-out house property for residential purposes for the whole previous year </w:t>
            </w:r>
          </w:p>
        </w:tc>
        <w:tc>
          <w:tcPr>
            <w:tcW w:w="1280" w:type="dxa"/>
            <w:tcBorders>
              <w:top w:val="nil"/>
              <w:left w:val="nil"/>
              <w:bottom w:val="nil"/>
              <w:right w:val="nil"/>
            </w:tcBorders>
            <w:hideMark/>
          </w:tcPr>
          <w:p w:rsidR="00873E4D" w:rsidRDefault="00873E4D">
            <w:pPr>
              <w:pStyle w:val="BodyText"/>
              <w:jc w:val="right"/>
            </w:pPr>
            <w:r>
              <w:t>15,00,000</w:t>
            </w:r>
          </w:p>
        </w:tc>
      </w:tr>
      <w:tr w:rsidR="00873E4D" w:rsidTr="00B905C1">
        <w:tc>
          <w:tcPr>
            <w:tcW w:w="586" w:type="dxa"/>
            <w:tcBorders>
              <w:top w:val="nil"/>
              <w:left w:val="nil"/>
              <w:bottom w:val="nil"/>
              <w:right w:val="nil"/>
            </w:tcBorders>
            <w:hideMark/>
          </w:tcPr>
          <w:p w:rsidR="00873E4D" w:rsidRDefault="00873E4D">
            <w:pPr>
              <w:pStyle w:val="BodyText"/>
              <w:jc w:val="center"/>
            </w:pPr>
            <w:r>
              <w:t>(3)</w:t>
            </w:r>
          </w:p>
        </w:tc>
        <w:tc>
          <w:tcPr>
            <w:tcW w:w="6659" w:type="dxa"/>
            <w:tcBorders>
              <w:top w:val="nil"/>
              <w:left w:val="nil"/>
              <w:bottom w:val="nil"/>
              <w:right w:val="nil"/>
            </w:tcBorders>
            <w:hideMark/>
          </w:tcPr>
          <w:p w:rsidR="00873E4D" w:rsidRDefault="00873E4D">
            <w:pPr>
              <w:pStyle w:val="BodyText"/>
            </w:pPr>
            <w:r>
              <w:t>Let-out house property for residential purpose for eight months and self-occupied for four months during the previous year</w:t>
            </w:r>
          </w:p>
        </w:tc>
        <w:tc>
          <w:tcPr>
            <w:tcW w:w="1280" w:type="dxa"/>
            <w:tcBorders>
              <w:top w:val="nil"/>
              <w:left w:val="nil"/>
              <w:bottom w:val="nil"/>
              <w:right w:val="nil"/>
            </w:tcBorders>
            <w:hideMark/>
          </w:tcPr>
          <w:p w:rsidR="00873E4D" w:rsidRDefault="00873E4D">
            <w:pPr>
              <w:pStyle w:val="BodyText"/>
              <w:jc w:val="right"/>
            </w:pPr>
            <w:r>
              <w:t>15,00,000</w:t>
            </w:r>
          </w:p>
        </w:tc>
      </w:tr>
      <w:tr w:rsidR="00873E4D" w:rsidTr="00B905C1">
        <w:tc>
          <w:tcPr>
            <w:tcW w:w="586" w:type="dxa"/>
            <w:tcBorders>
              <w:top w:val="nil"/>
              <w:left w:val="nil"/>
              <w:bottom w:val="nil"/>
              <w:right w:val="nil"/>
            </w:tcBorders>
            <w:hideMark/>
          </w:tcPr>
          <w:p w:rsidR="00873E4D" w:rsidRDefault="00873E4D">
            <w:pPr>
              <w:pStyle w:val="BodyText"/>
              <w:jc w:val="center"/>
            </w:pPr>
            <w:r>
              <w:t>(4)</w:t>
            </w:r>
          </w:p>
        </w:tc>
        <w:tc>
          <w:tcPr>
            <w:tcW w:w="6659" w:type="dxa"/>
            <w:tcBorders>
              <w:top w:val="nil"/>
              <w:left w:val="nil"/>
              <w:bottom w:val="nil"/>
              <w:right w:val="nil"/>
            </w:tcBorders>
            <w:hideMark/>
          </w:tcPr>
          <w:p w:rsidR="00873E4D" w:rsidRDefault="00873E4D">
            <w:pPr>
              <w:pStyle w:val="BodyText"/>
            </w:pPr>
            <w:r>
              <w:t xml:space="preserve">Cash in hand </w:t>
            </w:r>
          </w:p>
        </w:tc>
        <w:tc>
          <w:tcPr>
            <w:tcW w:w="1280" w:type="dxa"/>
            <w:tcBorders>
              <w:top w:val="nil"/>
              <w:left w:val="nil"/>
              <w:bottom w:val="nil"/>
              <w:right w:val="nil"/>
            </w:tcBorders>
            <w:hideMark/>
          </w:tcPr>
          <w:p w:rsidR="00873E4D" w:rsidRDefault="00873E4D">
            <w:pPr>
              <w:pStyle w:val="BodyText"/>
              <w:jc w:val="right"/>
            </w:pPr>
            <w:r>
              <w:t>1,70,000</w:t>
            </w:r>
          </w:p>
        </w:tc>
      </w:tr>
      <w:tr w:rsidR="00873E4D" w:rsidTr="00B905C1">
        <w:tc>
          <w:tcPr>
            <w:tcW w:w="586" w:type="dxa"/>
            <w:tcBorders>
              <w:top w:val="nil"/>
              <w:left w:val="nil"/>
              <w:bottom w:val="nil"/>
              <w:right w:val="nil"/>
            </w:tcBorders>
            <w:hideMark/>
          </w:tcPr>
          <w:p w:rsidR="00873E4D" w:rsidRDefault="00873E4D">
            <w:pPr>
              <w:pStyle w:val="BodyText"/>
              <w:jc w:val="center"/>
            </w:pPr>
            <w:r>
              <w:t>(5)</w:t>
            </w:r>
          </w:p>
        </w:tc>
        <w:tc>
          <w:tcPr>
            <w:tcW w:w="6659" w:type="dxa"/>
            <w:tcBorders>
              <w:top w:val="nil"/>
              <w:left w:val="nil"/>
              <w:bottom w:val="nil"/>
              <w:right w:val="nil"/>
            </w:tcBorders>
            <w:hideMark/>
          </w:tcPr>
          <w:p w:rsidR="00873E4D" w:rsidRDefault="00873E4D">
            <w:pPr>
              <w:pStyle w:val="BodyText"/>
            </w:pPr>
            <w:r>
              <w:t>Jewellery held for personal use</w:t>
            </w:r>
          </w:p>
        </w:tc>
        <w:tc>
          <w:tcPr>
            <w:tcW w:w="1280" w:type="dxa"/>
            <w:tcBorders>
              <w:top w:val="nil"/>
              <w:left w:val="nil"/>
              <w:bottom w:val="nil"/>
              <w:right w:val="nil"/>
            </w:tcBorders>
            <w:hideMark/>
          </w:tcPr>
          <w:p w:rsidR="00873E4D" w:rsidRDefault="00873E4D">
            <w:pPr>
              <w:pStyle w:val="BodyText"/>
              <w:jc w:val="right"/>
            </w:pPr>
            <w:r>
              <w:t>25,00,000</w:t>
            </w:r>
          </w:p>
        </w:tc>
      </w:tr>
      <w:tr w:rsidR="00873E4D" w:rsidTr="00B905C1">
        <w:tc>
          <w:tcPr>
            <w:tcW w:w="586" w:type="dxa"/>
            <w:tcBorders>
              <w:top w:val="nil"/>
              <w:left w:val="nil"/>
              <w:bottom w:val="nil"/>
              <w:right w:val="nil"/>
            </w:tcBorders>
            <w:hideMark/>
          </w:tcPr>
          <w:p w:rsidR="00873E4D" w:rsidRDefault="00873E4D">
            <w:pPr>
              <w:pStyle w:val="BodyText"/>
              <w:jc w:val="center"/>
            </w:pPr>
            <w:r>
              <w:t>(6)</w:t>
            </w:r>
          </w:p>
        </w:tc>
        <w:tc>
          <w:tcPr>
            <w:tcW w:w="6659" w:type="dxa"/>
            <w:tcBorders>
              <w:top w:val="nil"/>
              <w:left w:val="nil"/>
              <w:bottom w:val="nil"/>
              <w:right w:val="nil"/>
            </w:tcBorders>
            <w:hideMark/>
          </w:tcPr>
          <w:p w:rsidR="00873E4D" w:rsidRDefault="00873E4D">
            <w:pPr>
              <w:pStyle w:val="BodyText"/>
            </w:pPr>
            <w:r>
              <w:t>Flat in Delhi used as business office</w:t>
            </w:r>
          </w:p>
        </w:tc>
        <w:tc>
          <w:tcPr>
            <w:tcW w:w="1280" w:type="dxa"/>
            <w:tcBorders>
              <w:top w:val="nil"/>
              <w:left w:val="nil"/>
              <w:bottom w:val="nil"/>
              <w:right w:val="nil"/>
            </w:tcBorders>
            <w:hideMark/>
          </w:tcPr>
          <w:p w:rsidR="00873E4D" w:rsidRDefault="00873E4D">
            <w:pPr>
              <w:pStyle w:val="BodyText"/>
              <w:jc w:val="right"/>
            </w:pPr>
            <w:r>
              <w:t>10,00,000</w:t>
            </w:r>
          </w:p>
        </w:tc>
      </w:tr>
      <w:tr w:rsidR="00873E4D" w:rsidTr="00B905C1">
        <w:tc>
          <w:tcPr>
            <w:tcW w:w="586" w:type="dxa"/>
            <w:tcBorders>
              <w:top w:val="nil"/>
              <w:left w:val="nil"/>
              <w:bottom w:val="nil"/>
              <w:right w:val="nil"/>
            </w:tcBorders>
            <w:hideMark/>
          </w:tcPr>
          <w:p w:rsidR="00873E4D" w:rsidRDefault="00873E4D">
            <w:pPr>
              <w:pStyle w:val="BodyText"/>
              <w:jc w:val="center"/>
            </w:pPr>
            <w:r>
              <w:t>(7)</w:t>
            </w:r>
          </w:p>
        </w:tc>
        <w:tc>
          <w:tcPr>
            <w:tcW w:w="6659" w:type="dxa"/>
            <w:tcBorders>
              <w:top w:val="nil"/>
              <w:left w:val="nil"/>
              <w:bottom w:val="nil"/>
              <w:right w:val="nil"/>
            </w:tcBorders>
            <w:hideMark/>
          </w:tcPr>
          <w:p w:rsidR="00873E4D" w:rsidRDefault="00873E4D">
            <w:pPr>
              <w:pStyle w:val="BodyText"/>
            </w:pPr>
            <w:r>
              <w:t xml:space="preserve">Shares in companies </w:t>
            </w:r>
          </w:p>
        </w:tc>
        <w:tc>
          <w:tcPr>
            <w:tcW w:w="1280" w:type="dxa"/>
            <w:tcBorders>
              <w:top w:val="nil"/>
              <w:left w:val="nil"/>
              <w:bottom w:val="nil"/>
              <w:right w:val="nil"/>
            </w:tcBorders>
            <w:hideMark/>
          </w:tcPr>
          <w:p w:rsidR="00873E4D" w:rsidRDefault="00873E4D">
            <w:pPr>
              <w:pStyle w:val="BodyText"/>
              <w:jc w:val="right"/>
            </w:pPr>
            <w:r>
              <w:t>4,00,000</w:t>
            </w:r>
          </w:p>
        </w:tc>
      </w:tr>
      <w:tr w:rsidR="00873E4D" w:rsidTr="00B905C1">
        <w:tc>
          <w:tcPr>
            <w:tcW w:w="586" w:type="dxa"/>
            <w:tcBorders>
              <w:top w:val="nil"/>
              <w:left w:val="nil"/>
              <w:bottom w:val="nil"/>
              <w:right w:val="nil"/>
            </w:tcBorders>
            <w:hideMark/>
          </w:tcPr>
          <w:p w:rsidR="00873E4D" w:rsidRDefault="00873E4D">
            <w:pPr>
              <w:pStyle w:val="BodyText"/>
              <w:jc w:val="center"/>
            </w:pPr>
            <w:r>
              <w:t>(8)</w:t>
            </w:r>
          </w:p>
        </w:tc>
        <w:tc>
          <w:tcPr>
            <w:tcW w:w="6659" w:type="dxa"/>
            <w:tcBorders>
              <w:top w:val="nil"/>
              <w:left w:val="nil"/>
              <w:bottom w:val="nil"/>
              <w:right w:val="nil"/>
            </w:tcBorders>
            <w:hideMark/>
          </w:tcPr>
          <w:p w:rsidR="00873E4D" w:rsidRDefault="00873E4D">
            <w:pPr>
              <w:pStyle w:val="BodyText"/>
            </w:pPr>
            <w:r>
              <w:t>Motor car for personal use</w:t>
            </w:r>
          </w:p>
        </w:tc>
        <w:tc>
          <w:tcPr>
            <w:tcW w:w="1280" w:type="dxa"/>
            <w:tcBorders>
              <w:top w:val="nil"/>
              <w:left w:val="nil"/>
              <w:bottom w:val="nil"/>
              <w:right w:val="nil"/>
            </w:tcBorders>
            <w:hideMark/>
          </w:tcPr>
          <w:p w:rsidR="00873E4D" w:rsidRDefault="00873E4D">
            <w:pPr>
              <w:pStyle w:val="BodyText"/>
              <w:jc w:val="right"/>
            </w:pPr>
            <w:r>
              <w:t>1,80,000</w:t>
            </w:r>
          </w:p>
        </w:tc>
      </w:tr>
      <w:tr w:rsidR="00873E4D" w:rsidTr="00B905C1">
        <w:tc>
          <w:tcPr>
            <w:tcW w:w="586" w:type="dxa"/>
            <w:tcBorders>
              <w:top w:val="nil"/>
              <w:left w:val="nil"/>
              <w:bottom w:val="nil"/>
              <w:right w:val="nil"/>
            </w:tcBorders>
            <w:hideMark/>
          </w:tcPr>
          <w:p w:rsidR="00873E4D" w:rsidRDefault="00873E4D">
            <w:pPr>
              <w:pStyle w:val="BodyText"/>
              <w:jc w:val="center"/>
            </w:pPr>
            <w:r>
              <w:t>(9)</w:t>
            </w:r>
          </w:p>
        </w:tc>
        <w:tc>
          <w:tcPr>
            <w:tcW w:w="6659" w:type="dxa"/>
            <w:tcBorders>
              <w:top w:val="nil"/>
              <w:left w:val="nil"/>
              <w:bottom w:val="nil"/>
              <w:right w:val="nil"/>
            </w:tcBorders>
            <w:hideMark/>
          </w:tcPr>
          <w:p w:rsidR="00873E4D" w:rsidRDefault="00873E4D">
            <w:pPr>
              <w:pStyle w:val="BodyText"/>
            </w:pPr>
            <w:r>
              <w:t xml:space="preserve">Fixed deposit in the name of minor son </w:t>
            </w:r>
          </w:p>
        </w:tc>
        <w:tc>
          <w:tcPr>
            <w:tcW w:w="1280" w:type="dxa"/>
            <w:tcBorders>
              <w:top w:val="nil"/>
              <w:left w:val="nil"/>
              <w:bottom w:val="nil"/>
              <w:right w:val="nil"/>
            </w:tcBorders>
            <w:hideMark/>
          </w:tcPr>
          <w:p w:rsidR="00873E4D" w:rsidRDefault="00873E4D">
            <w:pPr>
              <w:pStyle w:val="BodyText"/>
              <w:jc w:val="right"/>
            </w:pPr>
            <w:r>
              <w:t>2,00,000</w:t>
            </w:r>
          </w:p>
        </w:tc>
      </w:tr>
      <w:tr w:rsidR="00873E4D" w:rsidTr="00B905C1">
        <w:tc>
          <w:tcPr>
            <w:tcW w:w="586" w:type="dxa"/>
            <w:tcBorders>
              <w:top w:val="nil"/>
              <w:left w:val="nil"/>
              <w:bottom w:val="nil"/>
              <w:right w:val="nil"/>
            </w:tcBorders>
            <w:hideMark/>
          </w:tcPr>
          <w:p w:rsidR="00873E4D" w:rsidRDefault="00873E4D">
            <w:pPr>
              <w:pStyle w:val="BodyText"/>
              <w:jc w:val="center"/>
            </w:pPr>
            <w:r>
              <w:t>(10)</w:t>
            </w:r>
          </w:p>
        </w:tc>
        <w:tc>
          <w:tcPr>
            <w:tcW w:w="6659" w:type="dxa"/>
            <w:tcBorders>
              <w:top w:val="nil"/>
              <w:left w:val="nil"/>
              <w:bottom w:val="nil"/>
              <w:right w:val="nil"/>
            </w:tcBorders>
            <w:hideMark/>
          </w:tcPr>
          <w:p w:rsidR="00873E4D" w:rsidRDefault="00873E4D">
            <w:pPr>
              <w:pStyle w:val="BodyText"/>
            </w:pPr>
            <w:r>
              <w:t>Flat in London</w:t>
            </w:r>
          </w:p>
        </w:tc>
        <w:tc>
          <w:tcPr>
            <w:tcW w:w="1280" w:type="dxa"/>
            <w:tcBorders>
              <w:top w:val="nil"/>
              <w:left w:val="nil"/>
              <w:bottom w:val="nil"/>
              <w:right w:val="nil"/>
            </w:tcBorders>
            <w:hideMark/>
          </w:tcPr>
          <w:p w:rsidR="00873E4D" w:rsidRDefault="00873E4D">
            <w:pPr>
              <w:pStyle w:val="BodyText"/>
              <w:jc w:val="right"/>
            </w:pPr>
            <w:r>
              <w:t>10,00,000</w:t>
            </w:r>
          </w:p>
        </w:tc>
      </w:tr>
      <w:tr w:rsidR="00873E4D" w:rsidTr="00B905C1">
        <w:tc>
          <w:tcPr>
            <w:tcW w:w="586" w:type="dxa"/>
            <w:tcBorders>
              <w:top w:val="nil"/>
              <w:left w:val="nil"/>
              <w:bottom w:val="nil"/>
              <w:right w:val="nil"/>
            </w:tcBorders>
            <w:hideMark/>
          </w:tcPr>
          <w:p w:rsidR="00873E4D" w:rsidRDefault="00873E4D">
            <w:pPr>
              <w:pStyle w:val="BodyText"/>
              <w:jc w:val="center"/>
            </w:pPr>
            <w:r>
              <w:t>(11)</w:t>
            </w:r>
          </w:p>
        </w:tc>
        <w:tc>
          <w:tcPr>
            <w:tcW w:w="6659" w:type="dxa"/>
            <w:tcBorders>
              <w:top w:val="nil"/>
              <w:left w:val="nil"/>
              <w:bottom w:val="nil"/>
              <w:right w:val="nil"/>
            </w:tcBorders>
            <w:hideMark/>
          </w:tcPr>
          <w:p w:rsidR="00873E4D" w:rsidRDefault="00873E4D">
            <w:pPr>
              <w:pStyle w:val="BodyText"/>
            </w:pPr>
            <w:r>
              <w:t xml:space="preserve">Unused land in Chennai acquired on 1.6.2003 and held for industrial purpose </w:t>
            </w:r>
          </w:p>
        </w:tc>
        <w:tc>
          <w:tcPr>
            <w:tcW w:w="1280" w:type="dxa"/>
            <w:tcBorders>
              <w:top w:val="nil"/>
              <w:left w:val="nil"/>
              <w:bottom w:val="nil"/>
              <w:right w:val="nil"/>
            </w:tcBorders>
            <w:hideMark/>
          </w:tcPr>
          <w:p w:rsidR="00873E4D" w:rsidRDefault="00873E4D">
            <w:pPr>
              <w:pStyle w:val="BodyText"/>
              <w:jc w:val="right"/>
            </w:pPr>
            <w:r>
              <w:t>10,00,000</w:t>
            </w:r>
          </w:p>
        </w:tc>
      </w:tr>
      <w:tr w:rsidR="00873E4D" w:rsidTr="00B905C1">
        <w:tc>
          <w:tcPr>
            <w:tcW w:w="586" w:type="dxa"/>
            <w:tcBorders>
              <w:top w:val="nil"/>
              <w:left w:val="nil"/>
              <w:bottom w:val="nil"/>
              <w:right w:val="nil"/>
            </w:tcBorders>
            <w:hideMark/>
          </w:tcPr>
          <w:p w:rsidR="00873E4D" w:rsidRDefault="00873E4D">
            <w:pPr>
              <w:pStyle w:val="BodyText"/>
              <w:jc w:val="center"/>
            </w:pPr>
            <w:r>
              <w:t>(12)</w:t>
            </w:r>
          </w:p>
        </w:tc>
        <w:tc>
          <w:tcPr>
            <w:tcW w:w="6659" w:type="dxa"/>
            <w:tcBorders>
              <w:top w:val="nil"/>
              <w:left w:val="nil"/>
              <w:bottom w:val="nil"/>
              <w:right w:val="nil"/>
            </w:tcBorders>
            <w:hideMark/>
          </w:tcPr>
          <w:p w:rsidR="00873E4D" w:rsidRDefault="00873E4D">
            <w:pPr>
              <w:pStyle w:val="BodyText"/>
            </w:pPr>
            <w:r>
              <w:t xml:space="preserve">Loan taken for purchase of jewellery </w:t>
            </w:r>
          </w:p>
        </w:tc>
        <w:tc>
          <w:tcPr>
            <w:tcW w:w="1280" w:type="dxa"/>
            <w:tcBorders>
              <w:top w:val="nil"/>
              <w:left w:val="nil"/>
              <w:bottom w:val="nil"/>
              <w:right w:val="nil"/>
            </w:tcBorders>
            <w:hideMark/>
          </w:tcPr>
          <w:p w:rsidR="00873E4D" w:rsidRDefault="00873E4D">
            <w:pPr>
              <w:pStyle w:val="BodyText"/>
              <w:jc w:val="right"/>
            </w:pPr>
            <w:r>
              <w:t>10,00,000</w:t>
            </w:r>
          </w:p>
        </w:tc>
      </w:tr>
    </w:tbl>
    <w:p w:rsidR="00873E4D" w:rsidRDefault="00873E4D" w:rsidP="00B905C1">
      <w:pPr>
        <w:pStyle w:val="BodyText"/>
      </w:pPr>
    </w:p>
    <w:p w:rsidR="00873E4D" w:rsidRDefault="00873E4D" w:rsidP="00B905C1">
      <w:r>
        <w:rPr>
          <w:b/>
        </w:rPr>
        <w:t xml:space="preserve">20. </w:t>
      </w:r>
      <w:r>
        <w:t>Aswath Pvt Ltd. furnish the following information:</w:t>
      </w:r>
    </w:p>
    <w:p w:rsidR="00873E4D" w:rsidRDefault="00873E4D" w:rsidP="00B905C1">
      <w:r>
        <w:t>Interest on securities (computed)</w:t>
      </w:r>
      <w:r>
        <w:tab/>
      </w:r>
      <w:r>
        <w:tab/>
      </w:r>
      <w:r>
        <w:tab/>
      </w:r>
      <w:r>
        <w:tab/>
        <w:t>Rs.10,000</w:t>
      </w:r>
    </w:p>
    <w:p w:rsidR="00873E4D" w:rsidRDefault="00873E4D" w:rsidP="00B905C1">
      <w:r>
        <w:t>Income from house property (computed)</w:t>
      </w:r>
      <w:r>
        <w:tab/>
      </w:r>
      <w:r>
        <w:tab/>
      </w:r>
      <w:r>
        <w:tab/>
        <w:t>Rs.20,000</w:t>
      </w:r>
    </w:p>
    <w:p w:rsidR="00873E4D" w:rsidRDefault="00873E4D" w:rsidP="00B905C1">
      <w:pPr>
        <w:numPr>
          <w:ilvl w:val="0"/>
          <w:numId w:val="10"/>
        </w:numPr>
      </w:pPr>
      <w:r>
        <w:t xml:space="preserve">Textile manufacturing </w:t>
      </w:r>
    </w:p>
    <w:p w:rsidR="00873E4D" w:rsidRDefault="00873E4D" w:rsidP="00B905C1">
      <w:pPr>
        <w:ind w:left="720"/>
      </w:pPr>
      <w:r>
        <w:t>Profit as per P&amp;L account before depreciation Rs.2,00,000</w:t>
      </w:r>
    </w:p>
    <w:p w:rsidR="00873E4D" w:rsidRDefault="00873E4D" w:rsidP="00B905C1">
      <w:pPr>
        <w:ind w:left="720"/>
      </w:pPr>
      <w:r>
        <w:t>Depreciation Rs.95,000</w:t>
      </w:r>
    </w:p>
    <w:p w:rsidR="00873E4D" w:rsidRDefault="00873E4D" w:rsidP="00B905C1">
      <w:pPr>
        <w:numPr>
          <w:ilvl w:val="0"/>
          <w:numId w:val="10"/>
        </w:numPr>
      </w:pPr>
      <w:r>
        <w:t xml:space="preserve">Hosiery manufacturing </w:t>
      </w:r>
    </w:p>
    <w:p w:rsidR="00873E4D" w:rsidRDefault="00873E4D" w:rsidP="00B905C1">
      <w:pPr>
        <w:ind w:left="720"/>
      </w:pPr>
      <w:r>
        <w:t>Profit as per P&amp; L account before depreciation Rs.75,000</w:t>
      </w:r>
    </w:p>
    <w:p w:rsidR="00873E4D" w:rsidRDefault="00873E4D" w:rsidP="00B905C1">
      <w:pPr>
        <w:ind w:left="720"/>
      </w:pPr>
      <w:r>
        <w:t>Depreciation Rs.18,000</w:t>
      </w:r>
    </w:p>
    <w:p w:rsidR="00873E4D" w:rsidRDefault="00873E4D" w:rsidP="00B905C1">
      <w:pPr>
        <w:ind w:left="720"/>
      </w:pPr>
      <w:r>
        <w:t>Agency business loss brought forward from 2003-04 Rs.18,000</w:t>
      </w:r>
    </w:p>
    <w:p w:rsidR="00873E4D" w:rsidRDefault="00873E4D" w:rsidP="00B905C1">
      <w:pPr>
        <w:ind w:left="720"/>
      </w:pPr>
      <w:r>
        <w:t>Income from other sources Rs.25,000</w:t>
      </w:r>
    </w:p>
    <w:p w:rsidR="00873E4D" w:rsidRDefault="00873E4D" w:rsidP="00B905C1">
      <w:pPr>
        <w:ind w:left="720"/>
      </w:pPr>
      <w:r>
        <w:t>Book profit u/s 115 JB Rs.7,00,000</w:t>
      </w:r>
    </w:p>
    <w:p w:rsidR="00873E4D" w:rsidRDefault="00873E4D" w:rsidP="00B905C1">
      <w:r>
        <w:t>Compute the total income and tax liability for the assessment year 2010-11.</w:t>
      </w:r>
    </w:p>
    <w:p w:rsidR="00873E4D" w:rsidRDefault="00873E4D" w:rsidP="00B905C1">
      <w:pPr>
        <w:pStyle w:val="BodyText"/>
      </w:pPr>
    </w:p>
    <w:p w:rsidR="00873E4D" w:rsidRDefault="00873E4D" w:rsidP="00B905C1">
      <w:pPr>
        <w:jc w:val="both"/>
      </w:pPr>
      <w:r>
        <w:rPr>
          <w:b/>
          <w:bCs/>
        </w:rPr>
        <w:t xml:space="preserve">21. </w:t>
      </w:r>
      <w:r>
        <w:t>A, B and C are partners in a firm assessed as firm sharing profits and losses in the proportion of 3:2:1.  The firm’s profit and loss account for the year ended 31</w:t>
      </w:r>
      <w:r>
        <w:rPr>
          <w:vertAlign w:val="superscript"/>
        </w:rPr>
        <w:t>st</w:t>
      </w:r>
      <w:r>
        <w:t xml:space="preserve"> March, 2010 showed a net profit of Rs.1,17,360 after debiting the following amounts:</w:t>
      </w:r>
    </w:p>
    <w:p w:rsidR="00873E4D" w:rsidRDefault="00873E4D" w:rsidP="00B905C1">
      <w:pPr>
        <w:numPr>
          <w:ilvl w:val="0"/>
          <w:numId w:val="11"/>
        </w:numPr>
        <w:jc w:val="both"/>
      </w:pPr>
      <w:r>
        <w:t>salary of Rs.4,000 paid to C (only C is a working partner)</w:t>
      </w:r>
    </w:p>
    <w:p w:rsidR="00873E4D" w:rsidRDefault="00873E4D" w:rsidP="00B905C1">
      <w:pPr>
        <w:numPr>
          <w:ilvl w:val="0"/>
          <w:numId w:val="11"/>
        </w:numPr>
        <w:jc w:val="both"/>
      </w:pPr>
      <w:r>
        <w:t>rent of Rs.9,000 paid to A for the portion of building owned by A in which the firm’s office was situated</w:t>
      </w:r>
    </w:p>
    <w:p w:rsidR="00873E4D" w:rsidRDefault="00873E4D" w:rsidP="00B905C1">
      <w:pPr>
        <w:numPr>
          <w:ilvl w:val="0"/>
          <w:numId w:val="11"/>
        </w:numPr>
        <w:jc w:val="both"/>
      </w:pPr>
      <w:r>
        <w:t xml:space="preserve">interest on capital at 10% is Rs.1,000; Rs.2,000 and Rs.3,000 to A, B and C respectively </w:t>
      </w:r>
    </w:p>
    <w:p w:rsidR="00873E4D" w:rsidRDefault="00873E4D" w:rsidP="00B905C1">
      <w:pPr>
        <w:numPr>
          <w:ilvl w:val="0"/>
          <w:numId w:val="11"/>
        </w:numPr>
        <w:jc w:val="both"/>
      </w:pPr>
      <w:r>
        <w:t>Commission on sale to B Rs.1,000</w:t>
      </w:r>
    </w:p>
    <w:p w:rsidR="00873E4D" w:rsidRDefault="00873E4D" w:rsidP="00B905C1">
      <w:pPr>
        <w:numPr>
          <w:ilvl w:val="0"/>
          <w:numId w:val="11"/>
        </w:numPr>
        <w:jc w:val="both"/>
      </w:pPr>
      <w:r>
        <w:t>Expenses on current repairs of the business premises belonging to partner A Rs.1,000. The rent agreement does not contain any provision regarding repairs by the firm</w:t>
      </w:r>
    </w:p>
    <w:p w:rsidR="00873E4D" w:rsidRDefault="00873E4D" w:rsidP="00B905C1">
      <w:pPr>
        <w:numPr>
          <w:ilvl w:val="0"/>
          <w:numId w:val="11"/>
        </w:numPr>
        <w:jc w:val="both"/>
      </w:pPr>
      <w:r>
        <w:t>Donation to approved bodies Rs.5,000</w:t>
      </w:r>
    </w:p>
    <w:p w:rsidR="00873E4D" w:rsidRDefault="00873E4D" w:rsidP="00B905C1">
      <w:r>
        <w:t>The net profit included Rs.10,400 from interest on government securities. Compute firm’s total income for the assessment year 2010-11.</w:t>
      </w:r>
    </w:p>
    <w:p w:rsidR="00873E4D" w:rsidRDefault="00873E4D" w:rsidP="00B905C1">
      <w:pPr>
        <w:pStyle w:val="BodyText"/>
      </w:pPr>
    </w:p>
    <w:p w:rsidR="00873E4D" w:rsidRDefault="00873E4D" w:rsidP="00B905C1">
      <w:pPr>
        <w:pStyle w:val="BodyText"/>
        <w:jc w:val="center"/>
        <w:sectPr w:rsidR="00873E4D" w:rsidSect="00873E4D">
          <w:footerReference w:type="even" r:id="rId8"/>
          <w:footerReference w:type="default" r:id="rId9"/>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t>***************</w:t>
      </w:r>
    </w:p>
    <w:p w:rsidR="00873E4D" w:rsidRDefault="00873E4D" w:rsidP="00B905C1">
      <w:pPr>
        <w:pStyle w:val="BodyText"/>
        <w:jc w:val="center"/>
      </w:pPr>
    </w:p>
    <w:sectPr w:rsidR="00873E4D" w:rsidSect="00873E4D">
      <w:footerReference w:type="even" r:id="rId10"/>
      <w:footerReference w:type="default" r:id="rId11"/>
      <w:type w:val="continuous"/>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E4D" w:rsidRDefault="00873E4D">
      <w:r>
        <w:separator/>
      </w:r>
    </w:p>
  </w:endnote>
  <w:endnote w:type="continuationSeparator" w:id="1">
    <w:p w:rsidR="00873E4D" w:rsidRDefault="00873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embedRegular r:id="rId1" w:fontKey="{0C343B9C-FA46-46FD-ABCE-301B6BC92D45}"/>
    <w:embedBold r:id="rId2" w:fontKey="{EAB009A2-952F-4273-A4C6-B4B3D282920F}"/>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3" w:fontKey="{EB433F22-34A0-4B74-B132-84D368FC80A3}"/>
  </w:font>
  <w:font w:name="Calibri">
    <w:panose1 w:val="020F0502020204030204"/>
    <w:charset w:val="00"/>
    <w:family w:val="swiss"/>
    <w:pitch w:val="variable"/>
    <w:sig w:usb0="A00002EF" w:usb1="4000207B" w:usb2="00000000" w:usb3="00000000" w:csb0="0000009F" w:csb1="00000000"/>
    <w:embedRegular r:id="rId4" w:fontKey="{048740F0-F5D0-4F0F-82C4-44F836A73A32}"/>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D" w:rsidRDefault="00873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3E4D" w:rsidRDefault="00873E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D" w:rsidRDefault="00873E4D">
    <w:pPr>
      <w:pStyle w:val="Footer"/>
      <w:framePr w:wrap="around" w:vAnchor="text" w:hAnchor="margin" w:xAlign="right" w:y="1"/>
      <w:rPr>
        <w:rStyle w:val="PageNumber"/>
      </w:rPr>
    </w:pPr>
  </w:p>
  <w:p w:rsidR="00873E4D" w:rsidRDefault="00873E4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D" w:rsidRDefault="007E2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2D2D" w:rsidRDefault="007E2D2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D" w:rsidRDefault="007E2D2D">
    <w:pPr>
      <w:pStyle w:val="Footer"/>
      <w:framePr w:wrap="around" w:vAnchor="text" w:hAnchor="margin" w:xAlign="right" w:y="1"/>
      <w:rPr>
        <w:rStyle w:val="PageNumber"/>
      </w:rPr>
    </w:pPr>
  </w:p>
  <w:p w:rsidR="007E2D2D" w:rsidRDefault="007E2D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E4D" w:rsidRDefault="00873E4D">
      <w:r>
        <w:separator/>
      </w:r>
    </w:p>
  </w:footnote>
  <w:footnote w:type="continuationSeparator" w:id="1">
    <w:p w:rsidR="00873E4D" w:rsidRDefault="00873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10F5"/>
    <w:multiLevelType w:val="hybridMultilevel"/>
    <w:tmpl w:val="6ECCECB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8942CE"/>
    <w:multiLevelType w:val="hybridMultilevel"/>
    <w:tmpl w:val="E5FCAEC0"/>
    <w:lvl w:ilvl="0" w:tplc="D9FC4C6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91790"/>
    <w:multiLevelType w:val="hybridMultilevel"/>
    <w:tmpl w:val="4A2CE4C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9D0DFF"/>
    <w:multiLevelType w:val="hybridMultilevel"/>
    <w:tmpl w:val="A43E5414"/>
    <w:lvl w:ilvl="0" w:tplc="1934351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9"/>
  </w:num>
  <w:num w:numId="4">
    <w:abstractNumId w:val="5"/>
  </w:num>
  <w:num w:numId="5">
    <w:abstractNumId w:val="1"/>
  </w:num>
  <w:num w:numId="6">
    <w:abstractNumId w:val="3"/>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31563B"/>
    <w:rsid w:val="00580932"/>
    <w:rsid w:val="00793D97"/>
    <w:rsid w:val="007E2D2D"/>
    <w:rsid w:val="00873E4D"/>
    <w:rsid w:val="00944C79"/>
    <w:rsid w:val="00B905C1"/>
    <w:rsid w:val="00CE6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paragraph" w:styleId="ListParagraph">
    <w:name w:val="List Paragraph"/>
    <w:basedOn w:val="Normal"/>
    <w:uiPriority w:val="34"/>
    <w:qFormat/>
    <w:rsid w:val="00B905C1"/>
    <w:pPr>
      <w:ind w:left="720"/>
    </w:pPr>
  </w:style>
</w:styles>
</file>

<file path=word/webSettings.xml><?xml version="1.0" encoding="utf-8"?>
<w:webSettings xmlns:r="http://schemas.openxmlformats.org/officeDocument/2006/relationships" xmlns:w="http://schemas.openxmlformats.org/wordprocessingml/2006/main">
  <w:divs>
    <w:div w:id="1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2011-04-04T10:10:00Z</cp:lastPrinted>
  <dcterms:created xsi:type="dcterms:W3CDTF">2011-04-04T10:10:00Z</dcterms:created>
  <dcterms:modified xsi:type="dcterms:W3CDTF">2011-04-04T10:10:00Z</dcterms:modified>
</cp:coreProperties>
</file>